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9" w:lineRule="exact"/>
        <w:jc w:val="center"/>
        <w:rPr>
          <w:rFonts w:hint="default" w:ascii="Times New Roman" w:hAnsi="Times New Roman" w:cs="Times New Roman"/>
          <w:color w:val="000000"/>
          <w:sz w:val="44"/>
          <w:szCs w:val="22"/>
          <w:lang w:val="en-US" w:eastAsia="en-US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1850390</wp:posOffset>
            </wp:positionH>
            <wp:positionV relativeFrom="page">
              <wp:posOffset>830580</wp:posOffset>
            </wp:positionV>
            <wp:extent cx="407670" cy="387985"/>
            <wp:effectExtent l="0" t="0" r="11430" b="1206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color w:val="000000"/>
          <w:spacing w:val="2"/>
          <w:sz w:val="44"/>
          <w:szCs w:val="22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000000"/>
          <w:spacing w:val="2"/>
          <w:sz w:val="44"/>
          <w:szCs w:val="22"/>
          <w:lang w:val="en-US" w:eastAsia="en-US"/>
        </w:rPr>
        <w:t>大连震东国际物流有限公司</w:t>
      </w:r>
    </w:p>
    <w:p>
      <w:pPr>
        <w:spacing w:before="327" w:line="323" w:lineRule="exact"/>
        <w:jc w:val="center"/>
        <w:rPr>
          <w:rFonts w:hint="default" w:ascii="Times New Roman" w:hAnsi="Times New Roman" w:cs="Times New Roman"/>
          <w:b/>
          <w:bCs/>
          <w:color w:val="000000"/>
          <w:sz w:val="30"/>
          <w:szCs w:val="22"/>
          <w:lang w:val="en-US" w:eastAsia="en-US"/>
        </w:rPr>
      </w:pPr>
      <w:r>
        <w:rPr>
          <w:rFonts w:hint="default" w:ascii="Times New Roman" w:hAnsi="Times New Roman" w:cs="Times New Roman"/>
          <w:b/>
          <w:bCs/>
          <w:color w:val="000000"/>
          <w:sz w:val="30"/>
          <w:szCs w:val="22"/>
          <w:lang w:val="en-US" w:eastAsia="en-US"/>
        </w:rPr>
        <w:t>DALIAN</w:t>
      </w:r>
      <w:r>
        <w:rPr>
          <w:rFonts w:hint="default" w:ascii="Times New Roman" w:hAnsi="Times New Roman" w:cs="Times New Roman"/>
          <w:b/>
          <w:bCs/>
          <w:color w:val="000000"/>
          <w:spacing w:val="2"/>
          <w:sz w:val="30"/>
          <w:szCs w:val="22"/>
          <w:lang w:val="en-US" w:eastAsia="en-US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30"/>
          <w:szCs w:val="22"/>
          <w:lang w:val="en-US" w:eastAsia="en-US"/>
        </w:rPr>
        <w:t>ZHENDONG</w:t>
      </w:r>
      <w:r>
        <w:rPr>
          <w:rFonts w:hint="default" w:ascii="Times New Roman" w:hAnsi="Times New Roman" w:cs="Times New Roman"/>
          <w:b/>
          <w:bCs/>
          <w:color w:val="000000"/>
          <w:spacing w:val="1"/>
          <w:sz w:val="30"/>
          <w:szCs w:val="22"/>
          <w:lang w:val="en-US" w:eastAsia="en-US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-3"/>
          <w:sz w:val="30"/>
          <w:szCs w:val="22"/>
          <w:lang w:val="en-US" w:eastAsia="en-US"/>
        </w:rPr>
        <w:t>INTERNATIONAL</w:t>
      </w:r>
      <w:r>
        <w:rPr>
          <w:rFonts w:hint="default" w:ascii="Times New Roman" w:hAnsi="Times New Roman" w:cs="Times New Roman"/>
          <w:b/>
          <w:bCs/>
          <w:color w:val="000000"/>
          <w:spacing w:val="-6"/>
          <w:sz w:val="30"/>
          <w:szCs w:val="22"/>
          <w:lang w:val="en-US" w:eastAsia="en-US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30"/>
          <w:szCs w:val="22"/>
          <w:lang w:val="en-US" w:eastAsia="en-US"/>
        </w:rPr>
        <w:t>LOGISTICS</w:t>
      </w:r>
      <w:r>
        <w:rPr>
          <w:rFonts w:hint="default" w:ascii="Times New Roman" w:hAnsi="Times New Roman" w:cs="Times New Roman"/>
          <w:b/>
          <w:bCs/>
          <w:color w:val="000000"/>
          <w:spacing w:val="1"/>
          <w:sz w:val="30"/>
          <w:szCs w:val="22"/>
          <w:lang w:val="en-US" w:eastAsia="en-US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-5"/>
          <w:sz w:val="30"/>
          <w:szCs w:val="22"/>
          <w:lang w:val="en-US" w:eastAsia="en-US"/>
        </w:rPr>
        <w:t>CO.,LTD</w:t>
      </w:r>
    </w:p>
    <w:p>
      <w:pPr>
        <w:rPr>
          <w:rFonts w:hint="default" w:ascii="Times New Roman" w:hAnsi="Times New Roman" w:cs="Times New Roman"/>
        </w:rPr>
      </w:pP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大连震东国际物流有限公司成立于 2007 年 1 月 25 日，从事货物运输及相关服务的现代化、规范化的一级货运代理企业。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en-US"/>
        </w:rPr>
      </w:pPr>
      <w:r>
        <w:rPr>
          <w:rFonts w:hint="eastAsia" w:ascii="仿宋" w:hAnsi="仿宋" w:eastAsia="仿宋" w:cs="仿宋"/>
          <w:sz w:val="28"/>
          <w:szCs w:val="28"/>
        </w:rPr>
        <w:t>公司的业务范围包括集装箱运输及散杂货运输，铁路运输，代理租船，配载，仓储，报关，检验检疫，熏蒸及相关咨询服务等。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en-US"/>
        </w:rPr>
        <w:br w:type="textWrapping"/>
      </w:r>
      <w:r>
        <w:rPr>
          <w:rFonts w:hint="default" w:ascii="仿宋" w:hAnsi="仿宋" w:eastAsia="仿宋" w:cs="仿宋"/>
          <w:color w:val="000000"/>
          <w:sz w:val="28"/>
          <w:szCs w:val="28"/>
          <w:lang w:val="ru-RU" w:eastAsia="en-US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en-US"/>
        </w:rPr>
        <w:t>主营业务项目：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en-US"/>
        </w:rPr>
        <w:t>俄罗斯新西伯利亚地区，克拉斯诺亚尔斯克地区，伊尔库茨克地区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以及莫斯科和圣彼得堡地区的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en-US"/>
        </w:rPr>
        <w:t>木材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运输到中国和越南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en-US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二、应聘条件</w:t>
      </w:r>
    </w:p>
    <w:p>
      <w:pPr>
        <w:pStyle w:val="5"/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工作地：大连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pStyle w:val="5"/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国籍：俄罗斯</w:t>
      </w:r>
    </w:p>
    <w:p>
      <w:pPr>
        <w:pStyle w:val="5"/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学历：本科及以上学历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的毕业生</w:t>
      </w:r>
    </w:p>
    <w:p>
      <w:pPr>
        <w:pStyle w:val="5"/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年龄：22-25岁</w:t>
      </w:r>
    </w:p>
    <w:p>
      <w:pPr>
        <w:pStyle w:val="5"/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语言：中文听说读写能力优，能在工作中熟练使用中文</w:t>
      </w:r>
    </w:p>
    <w:p>
      <w:pPr>
        <w:pStyle w:val="5"/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其他条件：具备良好的职业素养、职业操守及一定社交能力</w:t>
      </w:r>
    </w:p>
    <w:p>
      <w:pPr>
        <w:pStyle w:val="5"/>
        <w:ind w:left="7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具有良好的沟通能力及团队协作能力</w:t>
      </w:r>
      <w:bookmarkStart w:id="0" w:name="_GoBack"/>
      <w:bookmarkEnd w:id="0"/>
    </w:p>
    <w:p>
      <w:pPr>
        <w:pStyle w:val="5"/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岗位职责：俄罗斯通关及物流相关业务协调</w:t>
      </w:r>
    </w:p>
    <w:p>
      <w:pPr>
        <w:pStyle w:val="5"/>
        <w:ind w:left="720" w:firstLine="1400" w:firstLineChars="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日常业务交流，做好中俄方信息沟通与反馈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</w:rPr>
        <w:t>执行合同，进行业务操作，为客户提供优质的服务；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</w:rPr>
        <w:t>负责航线报价、接单、派车及跟踪装货；</w:t>
      </w:r>
    </w:p>
    <w:p>
      <w:pPr>
        <w:pStyle w:val="5"/>
        <w:numPr>
          <w:ilvl w:val="0"/>
          <w:numId w:val="0"/>
        </w:numPr>
        <w:ind w:firstLine="2100" w:firstLineChars="7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负责联络各办事处及各方人员协调装货问题；</w:t>
      </w:r>
    </w:p>
    <w:p>
      <w:pPr>
        <w:pStyle w:val="5"/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薪资及待遇：面议</w:t>
      </w:r>
    </w:p>
    <w:p>
      <w:pPr>
        <w:pStyle w:val="5"/>
        <w:numPr>
          <w:ilvl w:val="0"/>
          <w:numId w:val="0"/>
        </w:numPr>
        <w:ind w:left="360" w:leftChars="0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2"/>
        </w:numPr>
        <w:spacing w:line="50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联系方式</w:t>
      </w:r>
    </w:p>
    <w:p>
      <w:pPr>
        <w:pStyle w:val="5"/>
        <w:ind w:firstLine="562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如果您有意成为我们的一员，请将您的简历投递至我们的人事招聘邮箱：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"mailto:operator01@dlzhendong.com"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4"/>
          <w:rFonts w:hint="eastAsia" w:ascii="仿宋" w:hAnsi="仿宋" w:eastAsia="仿宋" w:cs="仿宋"/>
          <w:sz w:val="28"/>
          <w:szCs w:val="28"/>
        </w:rPr>
        <w:t>operator01@dlzhendong.com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EFBD"/>
    <w:multiLevelType w:val="singleLevel"/>
    <w:tmpl w:val="5525EFBD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694D7A57"/>
    <w:multiLevelType w:val="multilevel"/>
    <w:tmpl w:val="694D7A5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96849"/>
    <w:rsid w:val="11ED7717"/>
    <w:rsid w:val="12F96849"/>
    <w:rsid w:val="38F70866"/>
    <w:rsid w:val="43DB0A36"/>
    <w:rsid w:val="538656DB"/>
    <w:rsid w:val="5AA9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No Spacing"/>
    <w:basedOn w:val="1"/>
    <w:qFormat/>
    <w:uiPriority w:val="1"/>
    <w:pPr>
      <w:spacing w:after="0" w:line="240" w:lineRule="auto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2020-10-19T02:33:00Z</dcterms:created>
  <dc:creator>安燕</dc:creator>
  <cp:lastModifiedBy>安燕</cp:lastModifiedBy>
  <dcterms:modified xsi:type="dcterms:W3CDTF">2020-10-26T02:08:47Z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